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1260000" cy="8116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sodakapu logó (1)(20260806-082502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8116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Aptos Display" w:hAnsi="Aptos Display"/>
          <w:b/>
          <w:i w:val="0"/>
          <w:color w:val="2F7473"/>
          <w:sz w:val="44"/>
        </w:rPr>
        <w:t>Auditív problémák listája</w:t>
      </w:r>
    </w:p>
    <w:p>
      <w:pPr>
        <w:spacing w:after="120"/>
        <w:jc w:val="center"/>
      </w:pPr>
      <w:r>
        <w:rPr>
          <w:rFonts w:ascii="Aptos" w:hAnsi="Aptos"/>
          <w:b w:val="0"/>
          <w:i w:val="0"/>
          <w:color w:val="647878"/>
          <w:sz w:val="20"/>
        </w:rPr>
        <w:t>I.E.L.P. megfigyelési és pontozólap</w:t>
      </w:r>
    </w:p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9921"/>
      </w:tblGrid>
      <w:tr>
        <w:tc>
          <w:tcPr>
            <w:tcW w:type="dxa" w:w="9921"/>
            <w:tcMar>
              <w:top w:w="80" w:type="dxa"/>
              <w:start w:w="120" w:type="dxa"/>
              <w:bottom w:w="80" w:type="dxa"/>
              <w:end w:w="120" w:type="dxa"/>
            </w:tcMar>
            <w:shd w:fill="FFF7D6"/>
            <w:tcBorders>
              <w:top w:val="single" w:sz="8" w:color="E5C75C"/>
              <w:left w:val="single" w:sz="8" w:color="E5C75C"/>
              <w:bottom w:val="single" w:sz="8" w:color="E5C75C"/>
              <w:right w:val="single" w:sz="8" w:color="E5C75C"/>
            </w:tcBorders>
          </w:tcPr>
          <w:p>
            <w:r>
              <w:rPr>
                <w:rFonts w:ascii="Aptos" w:hAnsi="Aptos"/>
                <w:b w:val="0"/>
                <w:i w:val="0"/>
                <w:color w:val="213A3A"/>
                <w:sz w:val="19"/>
              </w:rPr>
              <w:t>Jelölje meg minden állításnál a gyermekre leginkább jellemző értéket: 0 = nincs • 1 = nagyon enyhe • 2 = problémás • 3 = súlyosan zavaró.</w:t>
            </w:r>
          </w:p>
        </w:tc>
      </w:tr>
    </w:tbl>
    <w:p>
      <w:pPr>
        <w:spacing w:after="0"/>
      </w:pPr>
    </w:p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453"/>
        <w:gridCol w:w="7200"/>
        <w:gridCol w:w="566"/>
        <w:gridCol w:w="566"/>
        <w:gridCol w:w="566"/>
        <w:gridCol w:w="566"/>
      </w:tblGrid>
      <w:tr>
        <w:tc>
          <w:tcPr>
            <w:tcW w:type="dxa" w:w="453"/>
            <w:tcMar>
              <w:top w:w="80" w:type="dxa"/>
              <w:start w:w="120" w:type="dxa"/>
              <w:bottom w:w="80" w:type="dxa"/>
              <w:end w:w="120" w:type="dxa"/>
            </w:tcMar>
            <w:shd w:fill="2F7473"/>
            <w:tcBorders>
              <w:top w:val="single" w:sz="8" w:color="2F7473"/>
              <w:left w:val="single" w:sz="8" w:color="FFFFFF"/>
              <w:bottom w:val="single" w:sz="8" w:color="2F7473"/>
              <w:right w:val="single" w:sz="8" w:color="FFFFFF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#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shd w:fill="2F7473"/>
            <w:tcBorders>
              <w:top w:val="single" w:sz="8" w:color="2F7473"/>
              <w:left w:val="single" w:sz="8" w:color="FFFFFF"/>
              <w:bottom w:val="single" w:sz="8" w:color="2F7473"/>
              <w:right w:val="single" w:sz="8" w:color="FFFFFF"/>
            </w:tcBorders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Megfigyelési szempont</w:t>
            </w:r>
          </w:p>
        </w:tc>
        <w:tc>
          <w:tcPr>
            <w:tcW w:type="dxa" w:w="566"/>
            <w:tcMar>
              <w:top w:w="80" w:type="dxa"/>
              <w:start w:w="120" w:type="dxa"/>
              <w:bottom w:w="80" w:type="dxa"/>
              <w:end w:w="120" w:type="dxa"/>
            </w:tcMar>
            <w:shd w:fill="2F7473"/>
            <w:tcBorders>
              <w:top w:val="single" w:sz="8" w:color="2F7473"/>
              <w:left w:val="single" w:sz="8" w:color="FFFFFF"/>
              <w:bottom w:val="single" w:sz="8" w:color="2F7473"/>
              <w:right w:val="single" w:sz="8" w:color="FFFFFF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0</w:t>
            </w:r>
          </w:p>
        </w:tc>
        <w:tc>
          <w:tcPr>
            <w:tcW w:type="dxa" w:w="566"/>
            <w:tcMar>
              <w:top w:w="80" w:type="dxa"/>
              <w:start w:w="120" w:type="dxa"/>
              <w:bottom w:w="80" w:type="dxa"/>
              <w:end w:w="120" w:type="dxa"/>
            </w:tcMar>
            <w:shd w:fill="2F7473"/>
            <w:tcBorders>
              <w:top w:val="single" w:sz="8" w:color="2F7473"/>
              <w:left w:val="single" w:sz="8" w:color="FFFFFF"/>
              <w:bottom w:val="single" w:sz="8" w:color="2F7473"/>
              <w:right w:val="single" w:sz="8" w:color="FFFFFF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566"/>
            <w:tcMar>
              <w:top w:w="80" w:type="dxa"/>
              <w:start w:w="120" w:type="dxa"/>
              <w:bottom w:w="80" w:type="dxa"/>
              <w:end w:w="120" w:type="dxa"/>
            </w:tcMar>
            <w:shd w:fill="2F7473"/>
            <w:tcBorders>
              <w:top w:val="single" w:sz="8" w:color="2F7473"/>
              <w:left w:val="single" w:sz="8" w:color="FFFFFF"/>
              <w:bottom w:val="single" w:sz="8" w:color="2F7473"/>
              <w:right w:val="single" w:sz="8" w:color="FFFFFF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2</w:t>
            </w:r>
          </w:p>
        </w:tc>
        <w:tc>
          <w:tcPr>
            <w:tcW w:type="dxa" w:w="566"/>
            <w:tcMar>
              <w:top w:w="80" w:type="dxa"/>
              <w:start w:w="120" w:type="dxa"/>
              <w:bottom w:w="80" w:type="dxa"/>
              <w:end w:w="120" w:type="dxa"/>
            </w:tcMar>
            <w:shd w:fill="2F7473"/>
            <w:tcBorders>
              <w:top w:val="single" w:sz="8" w:color="2F7473"/>
              <w:left w:val="single" w:sz="8" w:color="FFFFFF"/>
              <w:bottom w:val="single" w:sz="8" w:color="2F7473"/>
              <w:right w:val="single" w:sz="8" w:color="FFFFFF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Középfülgyulladások 3 éves kor előtt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Középfülgyulladások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Grommet-tubus műtét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4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Szóbeli utasításokra (tanításra) nem figyel (legalább 50%-ban)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5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Nehezen követi a szóbeli utasításokat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6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Gyakran kell megismételni a szóbeli közlést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7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Nem tanul megfelelően az auditív csatornán keresztül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8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Lassan dolgozza fel a hallottakat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9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Nem társítja mindig a hallottakat a látottakkal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10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Tisztán auditív jelre nem képes néhány másodpercnél hosszabb ideig figyelni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11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Gyakran félreérti a közléseket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12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Gyakran visszakérdez: „Micsoda?”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13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Néhány másodperc alatt elfelejti a hallottakat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14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Rövid ideig tud csak figyelni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15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Álmodozik, figyelme elterelődik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16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A hangok könnyen elterelik a figyelmét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17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Csoportban vagy tömegben romlik a teljesítőképessége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18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Problémás a beszédhang-megkülönböztetése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19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Problémás a hang–betű megfeleltetés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20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Nehezen ismétel meg mondatokat (memória)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21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Zavarják a zajok – befedi a fülét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22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Még mások előtt felfigyel hangokra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23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Megriad hangoktól, amelyek másokat nem zavarnak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24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Csak hangos zene mellett tud a munkájára koncentrálni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25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Keresi a csendet, a nyugalmat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26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Sok, a korának megfelelő szót, kifejezést nem ért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27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Nyelvi nehézségei (nyelvtan, szókincs stb.) vannak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28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Artikulációs problémái voltak vagy vannak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29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Nehezen mond el egy mesét vagy történetet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30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Olvasási és/vagy helyesírási problémái vannak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31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A feladatok elején több hibát vét, mint a végén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32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A feladatok végén több hibát ejt, mint az elején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33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Viselkedésével zavarja környezetét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34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Szociálisan visszahúzódó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35</w:t>
            </w:r>
          </w:p>
        </w:tc>
        <w:tc>
          <w:tcPr>
            <w:tcW w:type="dxa" w:w="7200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Következetlenség a hibáiban, a teljesítményében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FFFFF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  <w:tr>
        <w:trPr>
          <w:cantSplit/>
        </w:trPr>
        <w:tc>
          <w:tcPr>
            <w:tcW w:type="dxa" w:w="453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47878"/>
                <w:sz w:val="17"/>
              </w:rPr>
              <w:t>36</w:t>
            </w:r>
          </w:p>
        </w:tc>
        <w:tc>
          <w:tcPr>
            <w:tcW w:type="dxa" w:w="7200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13A3A"/>
                <w:sz w:val="17"/>
              </w:rPr>
              <w:t>Iskolai tanulmányaiban alulteljesít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  <w:tc>
          <w:tcPr>
            <w:tcW w:type="dxa" w:w="566"/>
            <w:shd w:fill="F4F9F8"/>
            <w:tcBorders>
              <w:top w:val="single" w:sz="4" w:color="B7CECC"/>
              <w:left w:val="single" w:sz="4" w:color="B7CECC"/>
              <w:bottom w:val="single" w:sz="4" w:color="B7CECC"/>
              <w:right w:val="single" w:sz="4" w:color="B7CECC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 w:val="0"/>
                <w:i w:val="0"/>
                <w:color w:val="2F7473"/>
                <w:sz w:val="21"/>
              </w:rPr>
              <w:t>☐</w:t>
            </w:r>
          </w:p>
        </w:tc>
      </w:tr>
    </w:tbl>
    <w:p/>
    <w:tbl>
      <w:tblPr>
        <w:tblW w:type="dxa" w:w="9921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3259"/>
        <w:gridCol w:w="1700"/>
        <w:gridCol w:w="3259"/>
      </w:tblGrid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E8F4F3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9"/>
              </w:rPr>
              <w:t>Összesen</w:t>
            </w:r>
          </w:p>
        </w:tc>
        <w:tc>
          <w:tcPr>
            <w:tcW w:type="dxa" w:w="325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 w:val="0"/>
                <w:i w:val="0"/>
                <w:color w:val="213A3A"/>
                <w:sz w:val="19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E8F4F3"/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/>
                <w:i w:val="0"/>
                <w:color w:val="2F7473"/>
                <w:sz w:val="19"/>
              </w:rPr>
              <w:t>Dátum</w:t>
            </w:r>
          </w:p>
        </w:tc>
        <w:tc>
          <w:tcPr>
            <w:tcW w:type="dxa" w:w="325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 w:val="0"/>
                <w:i w:val="0"/>
                <w:color w:val="213A3A"/>
                <w:sz w:val="19"/>
              </w:rPr>
            </w:r>
          </w:p>
        </w:tc>
      </w:tr>
      <w:tr>
        <w:tc>
          <w:tcPr>
            <w:tcW w:type="dxa" w:w="9918"/>
            <w:gridSpan w:val="4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CECC"/>
              <w:left w:val="single" w:sz="8" w:color="B7CECC"/>
              <w:bottom w:val="single" w:sz="8" w:color="B7CECC"/>
              <w:right w:val="single" w:sz="8" w:color="B7CECC"/>
            </w:tcBorders>
          </w:tcPr>
          <w:p>
            <w:r>
              <w:rPr>
                <w:rFonts w:ascii="Aptos" w:hAnsi="Aptos"/>
                <w:b w:val="0"/>
                <w:i w:val="0"/>
                <w:color w:val="647878"/>
                <w:sz w:val="18"/>
              </w:rPr>
              <w:t>Korábbi mérés dátuma és pontszáma:  _________________________________________________</w:t>
            </w:r>
          </w:p>
        </w:tc>
      </w:tr>
    </w:tbl>
    <w:p>
      <w:pPr>
        <w:spacing w:before="120" w:after="0"/>
      </w:pPr>
      <w:r>
        <w:rPr>
          <w:rFonts w:ascii="Aptos" w:hAnsi="Aptos"/>
          <w:b w:val="0"/>
          <w:i/>
          <w:color w:val="647878"/>
          <w:sz w:val="16"/>
        </w:rPr>
        <w:t>Forrás: Ezt a listát az I.E.L.P. szakemberei állították össze egy kutatási programhoz, hivatkozással Fischer APC-skálájára és A. J. Katz munkájára.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822" w:left="87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647878"/>
        <w:sz w:val="16"/>
      </w:rPr>
      <w:t>Csodakapu Közhasznú Alapítvány  •  csodakapualapitvany.hu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 w:val="0"/>
        <w:i w:val="0"/>
        <w:color w:val="647878"/>
        <w:sz w:val="17"/>
      </w:rPr>
      <w:t>I.E.L.P. AUDITÍV PROBLÉMÁK LISTÁJA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213A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F747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747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F747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